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   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  <w:rtl w:val="0"/>
        </w:rPr>
        <w:t xml:space="preserve">27-6A-3(g)------Court granting extension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vertAlign w:val="baseline"/>
          <w:rtl w:val="0"/>
        </w:rPr>
        <w:t xml:space="preserve">up to 240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pen Sans" w:cs="Open Sans" w:eastAsia="Open Sans" w:hAnsi="Open Sans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IN THE CIRCUIT COURT OF _________________ COUNTY, WEST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State of West Virginia,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vs.</w:t>
        <w:tab/>
        <w:tab/>
        <w:tab/>
        <w:tab/>
        <w:tab/>
        <w:tab/>
        <w:tab/>
        <w:tab/>
        <w:tab/>
        <w:t xml:space="preserve">Case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          Defendant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Open Sans" w:cs="Open Sans" w:eastAsia="Open Sans" w:hAnsi="Open Sans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u w:val="single"/>
          <w:vertAlign w:val="baseline"/>
          <w:rtl w:val="0"/>
        </w:rPr>
        <w:t xml:space="preserve">COURT ORDER GRANTING EXTENSION OF PERIOD TO ATTAIN COMPETENCY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Open Sans" w:cs="Open Sans" w:eastAsia="Open Sans" w:hAnsi="Open Sans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pen Sans" w:cs="Open Sans" w:eastAsia="Open Sans" w:hAnsi="Open Sans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 xml:space="preserve">On the ___________________ day of  ________________________, 20____, and pursuant to W.Va. Code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27-6A-3(d), the Court found that the Defendant was not competent to stand trial as defined by W.Va. Code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27-6A-1(a)(2) but was substantially likely to attain competency.  The Defendant was committed to </w:t>
      </w:r>
      <w:r w:rsidDel="00000000" w:rsidR="00000000" w:rsidRPr="00000000">
        <w:rPr>
          <w:rFonts w:ascii="Open Sans" w:cs="Open Sans" w:eastAsia="Open Sans" w:hAnsi="Open Sans"/>
          <w:color w:val="000000"/>
          <w:u w:val="single"/>
          <w:vertAlign w:val="baseline"/>
          <w:rtl w:val="0"/>
        </w:rPr>
        <w:t xml:space="preserve">mental health facility 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for a period of up to 90 days or until ______________, 20__, to  receive competency restoration as defined by W.Va. Code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27-6A-1(a)(1) to attempt to allow defendant to attain competency.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 xml:space="preserve">On ________________, 20____, the Chief Medical Officer at the </w:t>
      </w:r>
      <w:r w:rsidDel="00000000" w:rsidR="00000000" w:rsidRPr="00000000">
        <w:rPr>
          <w:rFonts w:ascii="Open Sans" w:cs="Open Sans" w:eastAsia="Open Sans" w:hAnsi="Open Sans"/>
          <w:color w:val="000000"/>
          <w:u w:val="single"/>
          <w:vertAlign w:val="baseline"/>
          <w:rtl w:val="0"/>
        </w:rPr>
        <w:t xml:space="preserve">mental health facility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 reported that additional time was needed to attempt to attain Defendant’s competency to stand trial. 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 xml:space="preserve">Based upon the Chief Medical Officer’s report, the Court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FINDS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, pursuant to W.Va. Code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27-6A-3(g)(1),  that a period of _____ additional days of competency restoration services are required for the Defendant to attain competency to stand trial for a total maximum competency restoration period not to exceed 240 days.  The Court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 that the period for which Defendant is committed or placed at </w:t>
      </w:r>
      <w:r w:rsidDel="00000000" w:rsidR="00000000" w:rsidRPr="00000000">
        <w:rPr>
          <w:rFonts w:ascii="Open Sans" w:cs="Open Sans" w:eastAsia="Open Sans" w:hAnsi="Open Sans"/>
          <w:color w:val="000000"/>
          <w:u w:val="single"/>
          <w:vertAlign w:val="baseline"/>
          <w:rtl w:val="0"/>
        </w:rPr>
        <w:t xml:space="preserve">mental health facility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 to receive competency restoration services shall be extended until _____________________, 20_____. 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If the Statewide Forensic Clinical Director determines that the Defendant has attained competency prior to the end of his/her commitment period, the Court hereby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to forward such notification and examination report to this court.   If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determines that the Defendant has been restored to competency, the Court further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 to immediately notify the __________________(Jail Authority/Sheriff Department) for transport to the appropriate jail or other location.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ab/>
        <w:t xml:space="preserve">If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determines that the Defendant has not attained competency after having received the competency restoration services ordered herein, the Court hereby 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to provide a written recommendation to the Court and the prosecutor that contains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Director’s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suggested future clinical disposition, placement, or treatment for the Defendant.  Upon receipt of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Director’s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written recommendation the Court will provide notice of a hearing to consider the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Statewide Forensic Clinical Director’s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recommendation and the Defendant’s status in accordance with W.Va. Code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27-6A-3(g)(2).</w:t>
      </w:r>
    </w:p>
    <w:p w:rsidR="00000000" w:rsidDel="00000000" w:rsidP="00000000" w:rsidRDefault="00000000" w:rsidRPr="00000000" w14:paraId="00000018">
      <w:pPr>
        <w:spacing w:line="480" w:lineRule="auto"/>
        <w:ind w:firstLine="72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The Court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vertAlign w:val="baseline"/>
          <w:rtl w:val="0"/>
        </w:rPr>
        <w:t xml:space="preserve">ORDERS</w:t>
      </w: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 the Clerk of this Court to forward copies of this Order to the parties in this matter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 Forensic Services via facsimile 304/269-1542 or email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forensicservices@wv.gov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480" w:lineRule="auto"/>
        <w:ind w:firstLine="72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Entered this __________ day of _______, 20___. 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ab/>
        <w:tab/>
        <w:tab/>
        <w:tab/>
        <w:tab/>
        <w:tab/>
        <w:tab/>
        <w:tab/>
        <w:t xml:space="preserve">Judge </w:t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Assistant Prosecuting Attorney </w:t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Telephone and Fax 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Bar ID #</w:t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Counsel for Defendant 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color w:val="00000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Telephone and Fax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vertAlign w:val="baseline"/>
          <w:rtl w:val="0"/>
        </w:rPr>
        <w:t xml:space="preserve">Bar ID #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lainText">
    <w:name w:val="Plain Text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mailto:forensicservices@wv.gov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zy4MKsfbwe4hftIzWhkjN4ZfeA==">CgMxLjA4AHIhMVE0dktqYU02eXNRcjZlRENvX1pxcnFUVmdta2NTa1It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D402AE1E854F9543451F16D836B5" ma:contentTypeVersion="6" ma:contentTypeDescription="Create a new document." ma:contentTypeScope="" ma:versionID="31f80ad1383ba33296e3df3914fb76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b6ec0fed4bf60031f87821f5b9d3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D1AE1CA-F484-4E6A-BBF9-46F190EC7F59}"/>
</file>

<file path=customXML/itemProps3.xml><?xml version="1.0" encoding="utf-8"?>
<ds:datastoreItem xmlns:ds="http://schemas.openxmlformats.org/officeDocument/2006/customXml" ds:itemID="{C1171CE5-D383-4E6F-B8C0-BF2FA353ACA7}"/>
</file>

<file path=customXML/itemProps4.xml><?xml version="1.0" encoding="utf-8"?>
<ds:datastoreItem xmlns:ds="http://schemas.openxmlformats.org/officeDocument/2006/customXml" ds:itemID="{974D3CA1-8FFE-4E6F-A3A5-21B55B31D9F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2021-11-09T19:04:00Z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0x01010019A8D402AE1E854F9543451F16D836B5</vt:lpwstr>
  </property>
</Properties>
</file>